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2DAE5" w14:textId="0D1E5A9E" w:rsidR="00DE2432" w:rsidRDefault="001714FF" w:rsidP="00DE2432">
      <w:pPr>
        <w:spacing w:after="0" w:line="320" w:lineRule="atLeast"/>
        <w:jc w:val="both"/>
        <w:rPr>
          <w:rFonts w:ascii="Arial" w:hAnsi="Arial" w:cs="Arial"/>
          <w:b/>
        </w:rPr>
      </w:pPr>
      <w:r w:rsidRPr="0068465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32DB03" wp14:editId="7E32DB04">
            <wp:simplePos x="0" y="0"/>
            <wp:positionH relativeFrom="margin">
              <wp:posOffset>-20955</wp:posOffset>
            </wp:positionH>
            <wp:positionV relativeFrom="margin">
              <wp:posOffset>152400</wp:posOffset>
            </wp:positionV>
            <wp:extent cx="2505075" cy="409575"/>
            <wp:effectExtent l="0" t="0" r="9525" b="9525"/>
            <wp:wrapSquare wrapText="bothSides"/>
            <wp:docPr id="2" name="Obrázek 2" descr="\\crestcommunications-my.sharepoint.com@SSL\DavWWWRoot\personal\dokumenty_crestcom_cz\Documents\PR-Reality\Mint Investments\Logo MINT Invest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restcommunications-my.sharepoint.com@SSL\DavWWWRoot\personal\dokumenty_crestcom_cz\Documents\PR-Reality\Mint Investments\Logo MINT Investmen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2DAE6" w14:textId="77777777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7E32DAE7" w14:textId="77777777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7E32DAE8" w14:textId="77777777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7E32DAE9" w14:textId="627BAB6D" w:rsidR="00DE2432" w:rsidRPr="00FB68AD" w:rsidRDefault="00302865" w:rsidP="00DE2432">
      <w:pPr>
        <w:spacing w:after="0" w:line="320" w:lineRule="atLeast"/>
        <w:jc w:val="both"/>
        <w:rPr>
          <w:rFonts w:ascii="Arial" w:hAnsi="Arial" w:cs="Arial"/>
          <w:b/>
          <w:color w:val="FF0000"/>
          <w:sz w:val="26"/>
          <w:szCs w:val="26"/>
        </w:rPr>
      </w:pPr>
      <w:r w:rsidRPr="00FB68AD">
        <w:rPr>
          <w:rFonts w:ascii="Arial" w:hAnsi="Arial" w:cs="Arial"/>
          <w:b/>
          <w:sz w:val="26"/>
          <w:szCs w:val="26"/>
        </w:rPr>
        <w:t>SKUPINA MINT INVESTMENTS</w:t>
      </w:r>
      <w:r w:rsidR="00FB68AD" w:rsidRPr="00FB68AD">
        <w:rPr>
          <w:rFonts w:ascii="Arial" w:hAnsi="Arial" w:cs="Arial"/>
          <w:b/>
          <w:sz w:val="26"/>
          <w:szCs w:val="26"/>
        </w:rPr>
        <w:t xml:space="preserve"> </w:t>
      </w:r>
      <w:r w:rsidR="00DE2432" w:rsidRPr="00FB68AD">
        <w:rPr>
          <w:rFonts w:ascii="Arial" w:hAnsi="Arial" w:cs="Arial"/>
          <w:b/>
          <w:sz w:val="26"/>
          <w:szCs w:val="26"/>
        </w:rPr>
        <w:t>DOKONČIL</w:t>
      </w:r>
      <w:r w:rsidR="00FB68AD" w:rsidRPr="00FB68AD">
        <w:rPr>
          <w:rFonts w:ascii="Arial" w:hAnsi="Arial" w:cs="Arial"/>
          <w:b/>
          <w:sz w:val="26"/>
          <w:szCs w:val="26"/>
        </w:rPr>
        <w:t>A</w:t>
      </w:r>
      <w:r w:rsidR="00DE2432" w:rsidRPr="00FB68AD">
        <w:rPr>
          <w:rFonts w:ascii="Arial" w:hAnsi="Arial" w:cs="Arial"/>
          <w:b/>
          <w:sz w:val="26"/>
          <w:szCs w:val="26"/>
        </w:rPr>
        <w:t xml:space="preserve"> AKVIZICI</w:t>
      </w:r>
      <w:r w:rsidR="00FB68AD" w:rsidRPr="00FB68AD">
        <w:rPr>
          <w:rFonts w:ascii="Arial" w:hAnsi="Arial" w:cs="Arial"/>
          <w:b/>
          <w:sz w:val="26"/>
          <w:szCs w:val="26"/>
        </w:rPr>
        <w:t xml:space="preserve"> ADMINISTRATIVNÍ BUDOVY FLORENC OFFICE CENTER </w:t>
      </w:r>
      <w:r w:rsidR="004F7C34">
        <w:rPr>
          <w:rFonts w:ascii="Arial" w:hAnsi="Arial" w:cs="Arial"/>
          <w:b/>
          <w:sz w:val="26"/>
          <w:szCs w:val="26"/>
        </w:rPr>
        <w:t>PRO SHINHAN INVESTMENT CORPORATION</w:t>
      </w:r>
    </w:p>
    <w:p w14:paraId="7E32DAEA" w14:textId="6E30D581" w:rsidR="00DE2432" w:rsidRPr="00FB68AD" w:rsidRDefault="00FB68AD" w:rsidP="00DE2432">
      <w:pPr>
        <w:pBdr>
          <w:bottom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  <w:r w:rsidRPr="00FB68AD">
        <w:rPr>
          <w:rFonts w:ascii="Arial" w:hAnsi="Arial" w:cs="Arial"/>
        </w:rPr>
        <w:t>1</w:t>
      </w:r>
      <w:r w:rsidR="00490035">
        <w:rPr>
          <w:rFonts w:ascii="Arial" w:hAnsi="Arial" w:cs="Arial"/>
        </w:rPr>
        <w:t>6</w:t>
      </w:r>
      <w:r w:rsidR="00F45C94" w:rsidRPr="00FB68AD">
        <w:rPr>
          <w:rFonts w:ascii="Arial" w:hAnsi="Arial" w:cs="Arial"/>
        </w:rPr>
        <w:t xml:space="preserve">. </w:t>
      </w:r>
      <w:r w:rsidRPr="00FB68AD">
        <w:rPr>
          <w:rFonts w:ascii="Arial" w:hAnsi="Arial" w:cs="Arial"/>
        </w:rPr>
        <w:t>ledna</w:t>
      </w:r>
      <w:r w:rsidR="00DE2432" w:rsidRPr="00FB68AD">
        <w:rPr>
          <w:rFonts w:ascii="Arial" w:hAnsi="Arial" w:cs="Arial"/>
        </w:rPr>
        <w:t xml:space="preserve"> 201</w:t>
      </w:r>
      <w:r w:rsidRPr="00FB68AD">
        <w:rPr>
          <w:rFonts w:ascii="Arial" w:hAnsi="Arial" w:cs="Arial"/>
        </w:rPr>
        <w:t>9</w:t>
      </w:r>
    </w:p>
    <w:p w14:paraId="2C9D4964" w14:textId="3D6C4E4A" w:rsidR="00EA182E" w:rsidRDefault="00302865" w:rsidP="00DE2432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Skupina </w:t>
      </w:r>
      <w:proofErr w:type="spellStart"/>
      <w:r>
        <w:rPr>
          <w:rFonts w:ascii="Arial" w:hAnsi="Arial" w:cs="Arial"/>
          <w:b/>
          <w:szCs w:val="20"/>
        </w:rPr>
        <w:t>Mint</w:t>
      </w:r>
      <w:proofErr w:type="spellEnd"/>
      <w:r>
        <w:rPr>
          <w:rFonts w:ascii="Arial" w:hAnsi="Arial" w:cs="Arial"/>
          <w:b/>
          <w:szCs w:val="20"/>
        </w:rPr>
        <w:t xml:space="preserve"> </w:t>
      </w:r>
      <w:proofErr w:type="spellStart"/>
      <w:r>
        <w:rPr>
          <w:rFonts w:ascii="Arial" w:hAnsi="Arial" w:cs="Arial"/>
          <w:b/>
          <w:szCs w:val="20"/>
        </w:rPr>
        <w:t>Investments</w:t>
      </w:r>
      <w:proofErr w:type="spellEnd"/>
      <w:r>
        <w:rPr>
          <w:rFonts w:ascii="Arial" w:hAnsi="Arial" w:cs="Arial"/>
          <w:b/>
          <w:szCs w:val="20"/>
        </w:rPr>
        <w:t xml:space="preserve"> dokončila akvizici </w:t>
      </w:r>
      <w:r w:rsidR="00496B98">
        <w:rPr>
          <w:rFonts w:ascii="Arial" w:hAnsi="Arial" w:cs="Arial"/>
          <w:b/>
          <w:szCs w:val="20"/>
        </w:rPr>
        <w:t xml:space="preserve">pražské </w:t>
      </w:r>
      <w:r>
        <w:rPr>
          <w:rFonts w:ascii="Arial" w:hAnsi="Arial" w:cs="Arial"/>
          <w:b/>
          <w:szCs w:val="20"/>
        </w:rPr>
        <w:t xml:space="preserve">kancelářské budovy Florenc Office Center pro jihokorejskou finanční skupinu </w:t>
      </w:r>
      <w:proofErr w:type="spellStart"/>
      <w:r>
        <w:rPr>
          <w:rFonts w:ascii="Arial" w:hAnsi="Arial" w:cs="Arial"/>
          <w:b/>
          <w:szCs w:val="20"/>
        </w:rPr>
        <w:t>Shinhan</w:t>
      </w:r>
      <w:proofErr w:type="spellEnd"/>
      <w:r w:rsidR="00BC0303">
        <w:rPr>
          <w:rFonts w:ascii="Arial" w:hAnsi="Arial" w:cs="Arial"/>
          <w:b/>
          <w:szCs w:val="20"/>
        </w:rPr>
        <w:t xml:space="preserve"> </w:t>
      </w:r>
      <w:proofErr w:type="spellStart"/>
      <w:r w:rsidR="00BC0303">
        <w:rPr>
          <w:rFonts w:ascii="Arial" w:hAnsi="Arial" w:cs="Arial"/>
          <w:b/>
          <w:szCs w:val="20"/>
        </w:rPr>
        <w:t>Investment</w:t>
      </w:r>
      <w:proofErr w:type="spellEnd"/>
      <w:r w:rsidR="00BC0303">
        <w:rPr>
          <w:rFonts w:ascii="Arial" w:hAnsi="Arial" w:cs="Arial"/>
          <w:b/>
          <w:szCs w:val="20"/>
        </w:rPr>
        <w:t xml:space="preserve"> </w:t>
      </w:r>
      <w:proofErr w:type="spellStart"/>
      <w:r w:rsidR="00BC0303">
        <w:rPr>
          <w:rFonts w:ascii="Arial" w:hAnsi="Arial" w:cs="Arial"/>
          <w:b/>
          <w:szCs w:val="20"/>
        </w:rPr>
        <w:t>Corporation</w:t>
      </w:r>
      <w:proofErr w:type="spellEnd"/>
      <w:r w:rsidR="00BC0303">
        <w:rPr>
          <w:rFonts w:ascii="Arial" w:hAnsi="Arial" w:cs="Arial"/>
          <w:b/>
          <w:szCs w:val="20"/>
        </w:rPr>
        <w:t xml:space="preserve">. Jde o první přímou akvizici korejského investora na českém trhu prémiových nemovitostí. Mint při transakci zajišťoval poradenství </w:t>
      </w:r>
      <w:r w:rsidR="007376A5">
        <w:rPr>
          <w:rFonts w:ascii="Arial" w:hAnsi="Arial" w:cs="Arial"/>
          <w:b/>
          <w:szCs w:val="20"/>
        </w:rPr>
        <w:t xml:space="preserve">a koordinaci </w:t>
      </w:r>
      <w:r w:rsidR="00EA182E">
        <w:rPr>
          <w:rFonts w:ascii="Arial" w:hAnsi="Arial" w:cs="Arial"/>
          <w:b/>
          <w:szCs w:val="20"/>
        </w:rPr>
        <w:t>zainteresovaných stran</w:t>
      </w:r>
      <w:r w:rsidR="00EF5272">
        <w:rPr>
          <w:rFonts w:ascii="Arial" w:hAnsi="Arial" w:cs="Arial"/>
          <w:b/>
          <w:szCs w:val="20"/>
        </w:rPr>
        <w:t xml:space="preserve"> a nyní bude zodpovědný za </w:t>
      </w:r>
      <w:proofErr w:type="spellStart"/>
      <w:r w:rsidR="00EF5272">
        <w:rPr>
          <w:rFonts w:ascii="Arial" w:hAnsi="Arial" w:cs="Arial"/>
          <w:b/>
          <w:szCs w:val="20"/>
        </w:rPr>
        <w:t>asset</w:t>
      </w:r>
      <w:proofErr w:type="spellEnd"/>
      <w:r w:rsidR="00EF5272">
        <w:rPr>
          <w:rFonts w:ascii="Arial" w:hAnsi="Arial" w:cs="Arial"/>
          <w:b/>
          <w:szCs w:val="20"/>
        </w:rPr>
        <w:t xml:space="preserve"> management a správu budovy.</w:t>
      </w:r>
      <w:r w:rsidR="00C41BF6">
        <w:rPr>
          <w:rFonts w:ascii="Arial" w:hAnsi="Arial" w:cs="Arial"/>
          <w:b/>
          <w:szCs w:val="20"/>
        </w:rPr>
        <w:t xml:space="preserve"> Seniorní financování poskytla banka </w:t>
      </w:r>
      <w:proofErr w:type="spellStart"/>
      <w:r w:rsidR="00C41BF6">
        <w:rPr>
          <w:rFonts w:ascii="Arial" w:hAnsi="Arial" w:cs="Arial"/>
          <w:b/>
          <w:szCs w:val="20"/>
        </w:rPr>
        <w:t>Helaba</w:t>
      </w:r>
      <w:proofErr w:type="spellEnd"/>
      <w:r w:rsidR="00C41BF6">
        <w:rPr>
          <w:rFonts w:ascii="Arial" w:hAnsi="Arial" w:cs="Arial"/>
          <w:b/>
          <w:szCs w:val="20"/>
        </w:rPr>
        <w:t xml:space="preserve">, právní a komerční poradenství kupující straně poskytly společnosti </w:t>
      </w:r>
      <w:proofErr w:type="spellStart"/>
      <w:r w:rsidR="00C41BF6">
        <w:rPr>
          <w:rFonts w:ascii="Arial" w:hAnsi="Arial" w:cs="Arial"/>
          <w:b/>
          <w:szCs w:val="20"/>
        </w:rPr>
        <w:t>White&amp;Case</w:t>
      </w:r>
      <w:proofErr w:type="spellEnd"/>
      <w:r w:rsidR="00C41BF6">
        <w:rPr>
          <w:rFonts w:ascii="Arial" w:hAnsi="Arial" w:cs="Arial"/>
          <w:b/>
          <w:szCs w:val="20"/>
        </w:rPr>
        <w:t xml:space="preserve">, resp. </w:t>
      </w:r>
      <w:proofErr w:type="spellStart"/>
      <w:r w:rsidR="00C41BF6">
        <w:rPr>
          <w:rFonts w:ascii="Arial" w:hAnsi="Arial" w:cs="Arial"/>
          <w:b/>
          <w:szCs w:val="20"/>
        </w:rPr>
        <w:t>Cushman</w:t>
      </w:r>
      <w:proofErr w:type="spellEnd"/>
      <w:r w:rsidR="001304F2">
        <w:rPr>
          <w:rFonts w:ascii="Arial" w:hAnsi="Arial" w:cs="Arial"/>
          <w:b/>
          <w:szCs w:val="20"/>
        </w:rPr>
        <w:t xml:space="preserve"> </w:t>
      </w:r>
      <w:r w:rsidR="00C41BF6">
        <w:rPr>
          <w:rFonts w:ascii="Arial" w:hAnsi="Arial" w:cs="Arial"/>
          <w:b/>
          <w:szCs w:val="20"/>
        </w:rPr>
        <w:t>&amp;</w:t>
      </w:r>
      <w:r w:rsidR="001304F2">
        <w:rPr>
          <w:rFonts w:ascii="Arial" w:hAnsi="Arial" w:cs="Arial"/>
          <w:b/>
          <w:szCs w:val="20"/>
        </w:rPr>
        <w:t xml:space="preserve"> </w:t>
      </w:r>
      <w:proofErr w:type="spellStart"/>
      <w:r w:rsidR="00C41BF6">
        <w:rPr>
          <w:rFonts w:ascii="Arial" w:hAnsi="Arial" w:cs="Arial"/>
          <w:b/>
          <w:szCs w:val="20"/>
        </w:rPr>
        <w:t>Wakefield</w:t>
      </w:r>
      <w:proofErr w:type="spellEnd"/>
      <w:r w:rsidR="00C41BF6">
        <w:rPr>
          <w:rFonts w:ascii="Arial" w:hAnsi="Arial" w:cs="Arial"/>
          <w:b/>
          <w:szCs w:val="20"/>
        </w:rPr>
        <w:t>.</w:t>
      </w:r>
    </w:p>
    <w:p w14:paraId="331AF503" w14:textId="46D390B9" w:rsidR="00EA182E" w:rsidRDefault="00EA182E" w:rsidP="00DE2432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</w:p>
    <w:p w14:paraId="61F033A4" w14:textId="3D63D3FC" w:rsidR="00EF5272" w:rsidRDefault="00517F7E" w:rsidP="00DE2432">
      <w:pPr>
        <w:spacing w:after="0" w:line="32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47546F34" wp14:editId="678CE65A">
            <wp:simplePos x="0" y="0"/>
            <wp:positionH relativeFrom="margin">
              <wp:align>left</wp:align>
            </wp:positionH>
            <wp:positionV relativeFrom="margin">
              <wp:posOffset>3331210</wp:posOffset>
            </wp:positionV>
            <wp:extent cx="1752600" cy="1313815"/>
            <wp:effectExtent l="0" t="0" r="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F03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272">
        <w:rPr>
          <w:rFonts w:ascii="Arial" w:hAnsi="Arial" w:cs="Arial"/>
          <w:szCs w:val="20"/>
        </w:rPr>
        <w:t>Florenc Office Center je kancelářská budova třídy A na rozhraní Prahy 1 a Prahy 8, která je od roku 2003 sídlem české centrály KPMG – globální auditorské, účetní a poradenské společnosti.</w:t>
      </w:r>
      <w:r w:rsidR="007668B3">
        <w:rPr>
          <w:rFonts w:ascii="Arial" w:hAnsi="Arial" w:cs="Arial"/>
          <w:szCs w:val="20"/>
        </w:rPr>
        <w:t xml:space="preserve"> Budova disponuje 1</w:t>
      </w:r>
      <w:r w:rsidR="005F2D35">
        <w:rPr>
          <w:rFonts w:ascii="Arial" w:hAnsi="Arial" w:cs="Arial"/>
          <w:szCs w:val="20"/>
        </w:rPr>
        <w:t>1</w:t>
      </w:r>
      <w:r w:rsidR="007668B3">
        <w:rPr>
          <w:rFonts w:ascii="Arial" w:hAnsi="Arial" w:cs="Arial"/>
          <w:szCs w:val="20"/>
        </w:rPr>
        <w:t> 000 m</w:t>
      </w:r>
      <w:r w:rsidR="007668B3" w:rsidRPr="007668B3">
        <w:rPr>
          <w:rFonts w:ascii="Arial" w:hAnsi="Arial" w:cs="Arial"/>
          <w:szCs w:val="20"/>
          <w:vertAlign w:val="superscript"/>
        </w:rPr>
        <w:t>2</w:t>
      </w:r>
      <w:r w:rsidR="007668B3">
        <w:rPr>
          <w:rFonts w:ascii="Arial" w:hAnsi="Arial" w:cs="Arial"/>
          <w:szCs w:val="20"/>
        </w:rPr>
        <w:t xml:space="preserve"> </w:t>
      </w:r>
      <w:r w:rsidR="005F2D35">
        <w:rPr>
          <w:rFonts w:ascii="Arial" w:hAnsi="Arial" w:cs="Arial"/>
          <w:szCs w:val="20"/>
        </w:rPr>
        <w:t>pronajímatelných ploch</w:t>
      </w:r>
      <w:r w:rsidR="007668B3">
        <w:rPr>
          <w:rFonts w:ascii="Arial" w:hAnsi="Arial" w:cs="Arial"/>
          <w:szCs w:val="20"/>
        </w:rPr>
        <w:t xml:space="preserve"> a </w:t>
      </w:r>
      <w:r w:rsidR="00C41BF6">
        <w:rPr>
          <w:rFonts w:ascii="Arial" w:hAnsi="Arial" w:cs="Arial"/>
          <w:szCs w:val="20"/>
        </w:rPr>
        <w:t xml:space="preserve">téměř 170 parkovacími místy. </w:t>
      </w:r>
    </w:p>
    <w:p w14:paraId="677830F0" w14:textId="069FD88F" w:rsidR="00C41BF6" w:rsidRDefault="00C41BF6" w:rsidP="00DE2432">
      <w:pPr>
        <w:spacing w:after="0" w:line="320" w:lineRule="atLeast"/>
        <w:jc w:val="both"/>
        <w:rPr>
          <w:rFonts w:ascii="Arial" w:hAnsi="Arial" w:cs="Arial"/>
          <w:szCs w:val="20"/>
        </w:rPr>
      </w:pPr>
    </w:p>
    <w:p w14:paraId="136F6EEC" w14:textId="1091827C" w:rsidR="00517F7E" w:rsidRDefault="00517F7E" w:rsidP="00DE2432">
      <w:pPr>
        <w:spacing w:after="0" w:line="320" w:lineRule="atLeast"/>
        <w:jc w:val="both"/>
        <w:rPr>
          <w:rFonts w:ascii="Arial" w:hAnsi="Arial" w:cs="Arial"/>
          <w:szCs w:val="20"/>
        </w:rPr>
      </w:pPr>
      <w:bookmarkStart w:id="0" w:name="_GoBack"/>
      <w:bookmarkEnd w:id="0"/>
    </w:p>
    <w:p w14:paraId="3D43A111" w14:textId="34FF155F" w:rsidR="00C41BF6" w:rsidRDefault="00C41BF6" w:rsidP="00DE2432">
      <w:pPr>
        <w:spacing w:after="0" w:line="320" w:lineRule="atLeast"/>
        <w:jc w:val="both"/>
        <w:rPr>
          <w:rFonts w:ascii="Arial" w:hAnsi="Arial" w:cs="Arial"/>
          <w:i/>
          <w:szCs w:val="20"/>
        </w:rPr>
      </w:pPr>
      <w:r w:rsidRPr="00DE2432">
        <w:rPr>
          <w:rFonts w:ascii="Arial" w:hAnsi="Arial" w:cs="Arial"/>
          <w:szCs w:val="20"/>
        </w:rPr>
        <w:t xml:space="preserve">Akvizici okomentoval </w:t>
      </w:r>
      <w:r>
        <w:rPr>
          <w:rFonts w:ascii="Arial" w:hAnsi="Arial" w:cs="Arial"/>
          <w:szCs w:val="20"/>
        </w:rPr>
        <w:t xml:space="preserve">Sebastien </w:t>
      </w:r>
      <w:proofErr w:type="spellStart"/>
      <w:r>
        <w:rPr>
          <w:rFonts w:ascii="Arial" w:hAnsi="Arial" w:cs="Arial"/>
          <w:szCs w:val="20"/>
        </w:rPr>
        <w:t>D</w:t>
      </w:r>
      <w:r w:rsidR="005F2D35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>j</w:t>
      </w:r>
      <w:r w:rsidR="005F2D35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>novski</w:t>
      </w:r>
      <w:proofErr w:type="spellEnd"/>
      <w:r w:rsidRPr="00DE2432">
        <w:rPr>
          <w:rFonts w:ascii="Arial" w:hAnsi="Arial" w:cs="Arial"/>
          <w:szCs w:val="20"/>
        </w:rPr>
        <w:t xml:space="preserve">, partner skupiny </w:t>
      </w:r>
      <w:proofErr w:type="spellStart"/>
      <w:r w:rsidRPr="00DE2432">
        <w:rPr>
          <w:rFonts w:ascii="Arial" w:hAnsi="Arial" w:cs="Arial"/>
          <w:szCs w:val="20"/>
        </w:rPr>
        <w:t>Mint</w:t>
      </w:r>
      <w:proofErr w:type="spellEnd"/>
      <w:r w:rsidRPr="00DE2432">
        <w:rPr>
          <w:rFonts w:ascii="Arial" w:hAnsi="Arial" w:cs="Arial"/>
          <w:szCs w:val="20"/>
        </w:rPr>
        <w:t xml:space="preserve"> </w:t>
      </w:r>
      <w:proofErr w:type="spellStart"/>
      <w:r w:rsidRPr="00DE2432">
        <w:rPr>
          <w:rFonts w:ascii="Arial" w:hAnsi="Arial" w:cs="Arial"/>
          <w:szCs w:val="20"/>
        </w:rPr>
        <w:t>Investments</w:t>
      </w:r>
      <w:proofErr w:type="spellEnd"/>
      <w:r>
        <w:rPr>
          <w:rFonts w:ascii="Arial" w:hAnsi="Arial" w:cs="Arial"/>
          <w:szCs w:val="20"/>
        </w:rPr>
        <w:t xml:space="preserve">: </w:t>
      </w:r>
      <w:r>
        <w:rPr>
          <w:rFonts w:ascii="Arial" w:hAnsi="Arial" w:cs="Arial"/>
          <w:i/>
          <w:szCs w:val="20"/>
        </w:rPr>
        <w:t>„</w:t>
      </w:r>
      <w:r w:rsidR="00FB68AD">
        <w:rPr>
          <w:rFonts w:ascii="Arial" w:hAnsi="Arial" w:cs="Arial"/>
          <w:i/>
          <w:szCs w:val="20"/>
        </w:rPr>
        <w:t xml:space="preserve">Přestože </w:t>
      </w:r>
      <w:r w:rsidR="00C91096">
        <w:rPr>
          <w:rFonts w:ascii="Arial" w:hAnsi="Arial" w:cs="Arial"/>
          <w:i/>
          <w:szCs w:val="20"/>
        </w:rPr>
        <w:t xml:space="preserve">řada korejských skupin </w:t>
      </w:r>
      <w:r>
        <w:rPr>
          <w:rFonts w:ascii="Arial" w:hAnsi="Arial" w:cs="Arial"/>
          <w:i/>
          <w:szCs w:val="20"/>
        </w:rPr>
        <w:t xml:space="preserve">v poslední době </w:t>
      </w:r>
      <w:r w:rsidR="00FB68AD">
        <w:rPr>
          <w:rFonts w:ascii="Arial" w:hAnsi="Arial" w:cs="Arial"/>
          <w:i/>
          <w:szCs w:val="20"/>
        </w:rPr>
        <w:t xml:space="preserve">na českém trhu </w:t>
      </w:r>
      <w:r>
        <w:rPr>
          <w:rFonts w:ascii="Arial" w:hAnsi="Arial" w:cs="Arial"/>
          <w:i/>
          <w:szCs w:val="20"/>
        </w:rPr>
        <w:t>velmi aktivně hled</w:t>
      </w:r>
      <w:r w:rsidR="00C91096">
        <w:rPr>
          <w:rFonts w:ascii="Arial" w:hAnsi="Arial" w:cs="Arial"/>
          <w:i/>
          <w:szCs w:val="20"/>
        </w:rPr>
        <w:t xml:space="preserve">á </w:t>
      </w:r>
      <w:r>
        <w:rPr>
          <w:rFonts w:ascii="Arial" w:hAnsi="Arial" w:cs="Arial"/>
          <w:i/>
          <w:szCs w:val="20"/>
        </w:rPr>
        <w:t xml:space="preserve">investiční příležitosti, toto je poprvé, kdy se </w:t>
      </w:r>
      <w:r w:rsidR="00FB68AD">
        <w:rPr>
          <w:rFonts w:ascii="Arial" w:hAnsi="Arial" w:cs="Arial"/>
          <w:i/>
          <w:szCs w:val="20"/>
        </w:rPr>
        <w:t>korejskému investorovi podařilo dotáhnout transakci do úspěšného konce. Florenc Office Center má</w:t>
      </w:r>
      <w:r w:rsidR="00671D19">
        <w:rPr>
          <w:rFonts w:ascii="Arial" w:hAnsi="Arial" w:cs="Arial"/>
          <w:i/>
          <w:szCs w:val="20"/>
        </w:rPr>
        <w:t xml:space="preserve"> pro nového investora</w:t>
      </w:r>
      <w:r w:rsidR="00FB68AD">
        <w:rPr>
          <w:rFonts w:ascii="Arial" w:hAnsi="Arial" w:cs="Arial"/>
          <w:i/>
          <w:szCs w:val="20"/>
        </w:rPr>
        <w:t xml:space="preserve"> řadu výhod:</w:t>
      </w:r>
      <w:r w:rsidR="00FB68AD" w:rsidRPr="00FB68AD">
        <w:rPr>
          <w:rFonts w:ascii="Arial" w:hAnsi="Arial" w:cs="Arial"/>
          <w:i/>
          <w:color w:val="FF0000"/>
          <w:szCs w:val="20"/>
        </w:rPr>
        <w:t xml:space="preserve"> </w:t>
      </w:r>
      <w:r w:rsidR="00FB68AD">
        <w:rPr>
          <w:rFonts w:ascii="Arial" w:hAnsi="Arial" w:cs="Arial"/>
          <w:i/>
          <w:szCs w:val="20"/>
        </w:rPr>
        <w:t xml:space="preserve">atraktivní lokalitu v centru Prahy, </w:t>
      </w:r>
      <w:r w:rsidR="00C91096">
        <w:rPr>
          <w:rFonts w:ascii="Arial" w:hAnsi="Arial" w:cs="Arial"/>
          <w:i/>
          <w:szCs w:val="20"/>
        </w:rPr>
        <w:t xml:space="preserve">dlouhodobou nájemní smlouvu a přední globální společnost jako nájemce budovy. </w:t>
      </w:r>
      <w:r w:rsidR="00FB68AD">
        <w:rPr>
          <w:rFonts w:ascii="Arial" w:hAnsi="Arial" w:cs="Arial"/>
          <w:i/>
          <w:szCs w:val="20"/>
        </w:rPr>
        <w:t xml:space="preserve">Proto je pro </w:t>
      </w:r>
      <w:proofErr w:type="spellStart"/>
      <w:r w:rsidR="00FB68AD">
        <w:rPr>
          <w:rFonts w:ascii="Arial" w:hAnsi="Arial" w:cs="Arial"/>
          <w:i/>
          <w:szCs w:val="20"/>
        </w:rPr>
        <w:t>Shinhan</w:t>
      </w:r>
      <w:proofErr w:type="spellEnd"/>
      <w:r w:rsidR="00FB68AD">
        <w:rPr>
          <w:rFonts w:ascii="Arial" w:hAnsi="Arial" w:cs="Arial"/>
          <w:i/>
          <w:szCs w:val="20"/>
        </w:rPr>
        <w:t xml:space="preserve"> ideální </w:t>
      </w:r>
      <w:r w:rsidR="00C91096">
        <w:rPr>
          <w:rFonts w:ascii="Arial" w:hAnsi="Arial" w:cs="Arial"/>
          <w:i/>
          <w:szCs w:val="20"/>
        </w:rPr>
        <w:t xml:space="preserve">první </w:t>
      </w:r>
      <w:r w:rsidR="00FB68AD">
        <w:rPr>
          <w:rFonts w:ascii="Arial" w:hAnsi="Arial" w:cs="Arial"/>
          <w:i/>
          <w:szCs w:val="20"/>
        </w:rPr>
        <w:t>akvizicí p</w:t>
      </w:r>
      <w:r w:rsidR="00C91096">
        <w:rPr>
          <w:rFonts w:ascii="Arial" w:hAnsi="Arial" w:cs="Arial"/>
          <w:i/>
          <w:szCs w:val="20"/>
        </w:rPr>
        <w:t>ři</w:t>
      </w:r>
      <w:r w:rsidR="00FB68AD">
        <w:rPr>
          <w:rFonts w:ascii="Arial" w:hAnsi="Arial" w:cs="Arial"/>
          <w:i/>
          <w:szCs w:val="20"/>
        </w:rPr>
        <w:t xml:space="preserve"> vstup</w:t>
      </w:r>
      <w:r w:rsidR="00C91096">
        <w:rPr>
          <w:rFonts w:ascii="Arial" w:hAnsi="Arial" w:cs="Arial"/>
          <w:i/>
          <w:szCs w:val="20"/>
        </w:rPr>
        <w:t>u</w:t>
      </w:r>
      <w:r w:rsidR="00FB68AD">
        <w:rPr>
          <w:rFonts w:ascii="Arial" w:hAnsi="Arial" w:cs="Arial"/>
          <w:i/>
          <w:szCs w:val="20"/>
        </w:rPr>
        <w:t xml:space="preserve"> na středoevropský trh.“</w:t>
      </w:r>
    </w:p>
    <w:p w14:paraId="7E32DAF3" w14:textId="77777777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7E32DAF4" w14:textId="77777777" w:rsidR="00DE2432" w:rsidRPr="00C45F6B" w:rsidRDefault="00DE2432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45F6B">
        <w:rPr>
          <w:rFonts w:ascii="Arial" w:hAnsi="Arial" w:cs="Arial"/>
          <w:b/>
          <w:sz w:val="20"/>
          <w:szCs w:val="20"/>
        </w:rPr>
        <w:t xml:space="preserve">Více informací o skupině </w:t>
      </w:r>
      <w:proofErr w:type="spellStart"/>
      <w:r w:rsidR="00F45C94" w:rsidRPr="00F45C94">
        <w:rPr>
          <w:rFonts w:ascii="Arial" w:hAnsi="Arial" w:cs="Arial"/>
          <w:b/>
          <w:sz w:val="20"/>
          <w:szCs w:val="20"/>
        </w:rPr>
        <w:t>Mint</w:t>
      </w:r>
      <w:proofErr w:type="spellEnd"/>
      <w:r w:rsidR="00F45C94" w:rsidRPr="00F45C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45C94" w:rsidRPr="00F45C94">
        <w:rPr>
          <w:rFonts w:ascii="Arial" w:hAnsi="Arial" w:cs="Arial"/>
          <w:b/>
          <w:sz w:val="20"/>
          <w:szCs w:val="20"/>
        </w:rPr>
        <w:t>Investments</w:t>
      </w:r>
      <w:proofErr w:type="spellEnd"/>
    </w:p>
    <w:p w14:paraId="7E32DAF5" w14:textId="77777777" w:rsidR="00DE2432" w:rsidRPr="00DE2432" w:rsidRDefault="00DE2432" w:rsidP="00902846">
      <w:pPr>
        <w:spacing w:after="0" w:line="240" w:lineRule="auto"/>
        <w:jc w:val="both"/>
        <w:rPr>
          <w:rStyle w:val="Zdraznn"/>
          <w:rFonts w:ascii="Arial" w:hAnsi="Arial" w:cs="Arial"/>
          <w:color w:val="141B26"/>
          <w:sz w:val="20"/>
          <w:szCs w:val="20"/>
        </w:rPr>
      </w:pP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Skupina </w:t>
      </w: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působí na trhu od roku 2002 a je jedním z předních nemovitostních investorů v České republice a na Slovensku. Celková hodnota spravovaných nemovitostí přesahuje 600</w:t>
      </w:r>
      <w:r w:rsidR="001714FF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m</w:t>
      </w:r>
      <w:r w:rsidR="001714FF">
        <w:rPr>
          <w:rStyle w:val="Zdraznn"/>
          <w:rFonts w:ascii="Arial" w:hAnsi="Arial" w:cs="Arial"/>
          <w:color w:val="141B26"/>
          <w:sz w:val="20"/>
          <w:szCs w:val="20"/>
        </w:rPr>
        <w:t>il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.</w:t>
      </w:r>
      <w:r w:rsidR="001714FF">
        <w:rPr>
          <w:rStyle w:val="Zdraznn"/>
          <w:rFonts w:ascii="Arial" w:hAnsi="Arial" w:cs="Arial"/>
          <w:color w:val="141B26"/>
          <w:sz w:val="20"/>
          <w:szCs w:val="20"/>
        </w:rPr>
        <w:t xml:space="preserve"> EUR.</w:t>
      </w:r>
    </w:p>
    <w:p w14:paraId="7E32DAF8" w14:textId="77CEF279" w:rsidR="00DE2432" w:rsidRDefault="00DE2432" w:rsidP="00902846">
      <w:pPr>
        <w:spacing w:after="0" w:line="240" w:lineRule="auto"/>
        <w:jc w:val="both"/>
        <w:rPr>
          <w:rStyle w:val="Zdraznn"/>
          <w:rFonts w:ascii="Arial" w:hAnsi="Arial" w:cs="Arial"/>
          <w:color w:val="141B26"/>
          <w:sz w:val="20"/>
          <w:szCs w:val="20"/>
        </w:rPr>
      </w:pP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nabízí kompletní škálu služeb spojených s investicemi do nemovitostí a její tým více než 50 profesionálů řeší veškeré finanční, právní a technické aspekty správy investičních nemovitostí a</w:t>
      </w:r>
      <w:r>
        <w:rPr>
          <w:rStyle w:val="Zdraznn"/>
          <w:rFonts w:ascii="Arial" w:hAnsi="Arial" w:cs="Arial"/>
          <w:color w:val="141B26"/>
          <w:sz w:val="20"/>
          <w:szCs w:val="20"/>
        </w:rPr>
        <w:t> 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developerských projektů.</w:t>
      </w:r>
      <w:r w:rsidR="004F7C34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Skupina je vlastněna 5 partnery. Všichni mají dlouhodobé zkušenosti z</w:t>
      </w:r>
      <w:r w:rsidR="00902846">
        <w:rPr>
          <w:rStyle w:val="Zdraznn"/>
          <w:rFonts w:ascii="Arial" w:hAnsi="Arial" w:cs="Arial"/>
          <w:color w:val="141B26"/>
          <w:sz w:val="20"/>
          <w:szCs w:val="20"/>
        </w:rPr>
        <w:t> 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významných mezinárodních finančních a </w:t>
      </w:r>
      <w:r w:rsidR="004F7C34">
        <w:rPr>
          <w:rStyle w:val="Zdraznn"/>
          <w:rFonts w:ascii="Arial" w:hAnsi="Arial" w:cs="Arial"/>
          <w:color w:val="141B26"/>
          <w:sz w:val="20"/>
          <w:szCs w:val="20"/>
        </w:rPr>
        <w:t>realitních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společností.</w:t>
      </w:r>
      <w:r w:rsidR="004F7C34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Klíčovým posláním </w:t>
      </w:r>
      <w:proofErr w:type="spellStart"/>
      <w:r w:rsidR="004F7C34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="004F7C34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="004F7C34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="004F7C34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je generovat pro investory nadprůměrné výnosy při minimalizaci rizika. Spravuje prostředky velkých institucionálních investorů i řady privátních investorů.</w:t>
      </w:r>
    </w:p>
    <w:p w14:paraId="7E32DAF9" w14:textId="77777777" w:rsidR="00DE2432" w:rsidRPr="00B144A4" w:rsidRDefault="00CB36FC" w:rsidP="009028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6" w:history="1">
        <w:r w:rsidR="00DE2432" w:rsidRPr="00B144A4">
          <w:rPr>
            <w:rStyle w:val="Hypertextovodkaz"/>
            <w:rFonts w:ascii="Arial" w:hAnsi="Arial" w:cs="Arial"/>
            <w:sz w:val="20"/>
            <w:szCs w:val="20"/>
          </w:rPr>
          <w:t>www.mintgroup.cz</w:t>
        </w:r>
      </w:hyperlink>
    </w:p>
    <w:p w14:paraId="7E32DAFA" w14:textId="69D74704" w:rsidR="00DE2432" w:rsidRDefault="00DE2432" w:rsidP="0090284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2CC506E" w14:textId="55D5BB52" w:rsidR="004F7C34" w:rsidRDefault="004F7C34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45F6B">
        <w:rPr>
          <w:rFonts w:ascii="Arial" w:hAnsi="Arial" w:cs="Arial"/>
          <w:b/>
          <w:sz w:val="20"/>
          <w:szCs w:val="20"/>
        </w:rPr>
        <w:t>Více informací o</w:t>
      </w:r>
      <w:r>
        <w:rPr>
          <w:rFonts w:ascii="Arial" w:hAnsi="Arial" w:cs="Arial"/>
          <w:b/>
          <w:sz w:val="20"/>
          <w:szCs w:val="20"/>
        </w:rPr>
        <w:t xml:space="preserve"> bance </w:t>
      </w:r>
      <w:proofErr w:type="spellStart"/>
      <w:r>
        <w:rPr>
          <w:rFonts w:ascii="Arial" w:hAnsi="Arial" w:cs="Arial"/>
          <w:b/>
          <w:sz w:val="20"/>
          <w:szCs w:val="20"/>
        </w:rPr>
        <w:t>Helaba</w:t>
      </w:r>
      <w:proofErr w:type="spellEnd"/>
    </w:p>
    <w:p w14:paraId="03801B53" w14:textId="71FBBCFC" w:rsidR="004F7C34" w:rsidRDefault="004F7C34" w:rsidP="0090284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Helaba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německá banka, která má ústředí ve Frankfurtu a Erfurtu</w:t>
      </w:r>
      <w:r w:rsidR="00CD572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a ve významných finančních </w:t>
      </w:r>
      <w:r w:rsidR="00CD572A">
        <w:rPr>
          <w:rFonts w:ascii="Arial" w:hAnsi="Arial" w:cs="Arial"/>
          <w:i/>
          <w:sz w:val="20"/>
          <w:szCs w:val="20"/>
        </w:rPr>
        <w:t>metropolích</w:t>
      </w:r>
      <w:r>
        <w:rPr>
          <w:rFonts w:ascii="Arial" w:hAnsi="Arial" w:cs="Arial"/>
          <w:i/>
          <w:sz w:val="20"/>
          <w:szCs w:val="20"/>
        </w:rPr>
        <w:t xml:space="preserve"> po celém světě.</w:t>
      </w:r>
      <w:r w:rsidR="00671D19">
        <w:rPr>
          <w:rFonts w:ascii="Arial" w:hAnsi="Arial" w:cs="Arial"/>
          <w:i/>
          <w:sz w:val="20"/>
          <w:szCs w:val="20"/>
        </w:rPr>
        <w:t xml:space="preserve"> Jako věřitel s udržitelným obchodním modelem se v realitním oboru zaměřuje na komerční nemovitosti v Německu, Evropě a USA. V regionu CEE banka působí od roku 2006. Financuje kancelářské, maloobchodní a logistické nemovitosti v České republice, Polsku a</w:t>
      </w:r>
      <w:r w:rsidR="00902846">
        <w:rPr>
          <w:rFonts w:ascii="Arial" w:hAnsi="Arial" w:cs="Arial"/>
          <w:i/>
          <w:sz w:val="20"/>
          <w:szCs w:val="20"/>
        </w:rPr>
        <w:t> </w:t>
      </w:r>
      <w:r w:rsidR="00671D19">
        <w:rPr>
          <w:rFonts w:ascii="Arial" w:hAnsi="Arial" w:cs="Arial"/>
          <w:i/>
          <w:sz w:val="20"/>
          <w:szCs w:val="20"/>
        </w:rPr>
        <w:t>na</w:t>
      </w:r>
      <w:r w:rsidR="00902846">
        <w:rPr>
          <w:rFonts w:ascii="Arial" w:hAnsi="Arial" w:cs="Arial"/>
          <w:i/>
          <w:sz w:val="20"/>
          <w:szCs w:val="20"/>
        </w:rPr>
        <w:t> </w:t>
      </w:r>
      <w:r w:rsidR="00671D19">
        <w:rPr>
          <w:rFonts w:ascii="Arial" w:hAnsi="Arial" w:cs="Arial"/>
          <w:i/>
          <w:sz w:val="20"/>
          <w:szCs w:val="20"/>
        </w:rPr>
        <w:t>Slovensku pro institucionální investory, investiční fondy a realitní společnosti.</w:t>
      </w:r>
    </w:p>
    <w:p w14:paraId="167A83CE" w14:textId="2782CDE7" w:rsidR="00671D19" w:rsidRDefault="00CB36FC" w:rsidP="009028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671D19" w:rsidRPr="003321E1">
          <w:rPr>
            <w:rStyle w:val="Hypertextovodkaz"/>
            <w:rFonts w:ascii="Arial" w:hAnsi="Arial" w:cs="Arial"/>
            <w:sz w:val="20"/>
            <w:szCs w:val="20"/>
          </w:rPr>
          <w:t>https://www.helaba.com/</w:t>
        </w:r>
      </w:hyperlink>
    </w:p>
    <w:p w14:paraId="74236705" w14:textId="77777777" w:rsidR="00671D19" w:rsidRPr="00671D19" w:rsidRDefault="00671D19" w:rsidP="00DE243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7E32DAFC" w14:textId="77777777" w:rsidR="00DE2432" w:rsidRDefault="00DE2432" w:rsidP="00554921">
      <w:pPr>
        <w:spacing w:after="0" w:line="280" w:lineRule="atLeast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55C62">
        <w:rPr>
          <w:rFonts w:ascii="Arial" w:hAnsi="Arial" w:cs="Arial"/>
          <w:b/>
          <w:i/>
          <w:sz w:val="20"/>
          <w:szCs w:val="20"/>
          <w:u w:val="single"/>
        </w:rPr>
        <w:t>Kontakty pro média:</w:t>
      </w:r>
    </w:p>
    <w:p w14:paraId="7E32DAFD" w14:textId="77777777" w:rsidR="00DE2432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Crest</w:t>
      </w:r>
      <w:proofErr w:type="spellEnd"/>
      <w:r>
        <w:rPr>
          <w:rFonts w:ascii="Arial" w:hAnsi="Arial" w:cs="Arial"/>
          <w:sz w:val="20"/>
          <w:szCs w:val="20"/>
        </w:rPr>
        <w:t xml:space="preserve"> Communications</w:t>
      </w:r>
    </w:p>
    <w:p w14:paraId="7E32DAFE" w14:textId="4C3CFDC3" w:rsidR="00DE2432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Kamila Čadková</w:t>
      </w:r>
      <w:r w:rsidR="001714FF">
        <w:rPr>
          <w:rFonts w:ascii="Arial" w:hAnsi="Arial" w:cs="Arial"/>
          <w:sz w:val="20"/>
          <w:szCs w:val="20"/>
        </w:rPr>
        <w:t xml:space="preserve">, Kateřina </w:t>
      </w:r>
      <w:r w:rsidR="00B05F4D">
        <w:rPr>
          <w:rFonts w:ascii="Arial" w:hAnsi="Arial" w:cs="Arial"/>
          <w:sz w:val="20"/>
          <w:szCs w:val="20"/>
        </w:rPr>
        <w:t xml:space="preserve">Krbcová </w:t>
      </w:r>
      <w:r w:rsidR="001714FF">
        <w:rPr>
          <w:rFonts w:ascii="Arial" w:hAnsi="Arial" w:cs="Arial"/>
          <w:sz w:val="20"/>
          <w:szCs w:val="20"/>
        </w:rPr>
        <w:t>Lanková</w:t>
      </w:r>
    </w:p>
    <w:p w14:paraId="7E32DAFF" w14:textId="77777777" w:rsidR="00DE2432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731 613</w:t>
      </w:r>
      <w:r w:rsidR="001714F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609</w:t>
      </w:r>
      <w:r w:rsidR="001714FF">
        <w:rPr>
          <w:rFonts w:ascii="Arial" w:hAnsi="Arial" w:cs="Arial"/>
          <w:sz w:val="20"/>
          <w:szCs w:val="20"/>
        </w:rPr>
        <w:t xml:space="preserve">, </w:t>
      </w:r>
      <w:r w:rsidR="001714FF">
        <w:rPr>
          <w:rFonts w:ascii="Arial" w:eastAsiaTheme="minorEastAsia" w:hAnsi="Arial" w:cs="Arial"/>
          <w:noProof/>
          <w:color w:val="000000"/>
          <w:sz w:val="20"/>
          <w:szCs w:val="20"/>
          <w:lang w:eastAsia="cs-CZ"/>
        </w:rPr>
        <w:t>775 899 353</w:t>
      </w:r>
    </w:p>
    <w:p w14:paraId="7E32DB00" w14:textId="77777777" w:rsidR="00DE2432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Mail: </w:t>
      </w:r>
      <w:hyperlink r:id="rId8" w:history="1">
        <w:r w:rsidR="001714FF" w:rsidRPr="00E53399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  <w:r w:rsidR="001714FF" w:rsidRPr="001714F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; </w:t>
      </w:r>
      <w:r w:rsidR="001714FF">
        <w:rPr>
          <w:rStyle w:val="Hypertextovodkaz"/>
          <w:rFonts w:ascii="Arial" w:hAnsi="Arial" w:cs="Arial"/>
          <w:sz w:val="20"/>
          <w:szCs w:val="20"/>
        </w:rPr>
        <w:t>katerina.lankova</w:t>
      </w:r>
      <w:r w:rsidR="001714FF" w:rsidRPr="001714FF">
        <w:rPr>
          <w:rStyle w:val="Hypertextovodkaz"/>
          <w:rFonts w:ascii="Arial" w:hAnsi="Arial" w:cs="Arial"/>
          <w:sz w:val="20"/>
          <w:szCs w:val="20"/>
        </w:rPr>
        <w:t>@crestcom.cz</w:t>
      </w:r>
    </w:p>
    <w:p w14:paraId="7E32DB01" w14:textId="77777777" w:rsidR="00DF53BF" w:rsidRDefault="00DF53BF"/>
    <w:sectPr w:rsidR="00DF5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32"/>
    <w:rsid w:val="001073E1"/>
    <w:rsid w:val="001304F2"/>
    <w:rsid w:val="001714FF"/>
    <w:rsid w:val="00241A29"/>
    <w:rsid w:val="00263204"/>
    <w:rsid w:val="00302865"/>
    <w:rsid w:val="00344DFC"/>
    <w:rsid w:val="00490035"/>
    <w:rsid w:val="00496B98"/>
    <w:rsid w:val="004F7C34"/>
    <w:rsid w:val="00517F7E"/>
    <w:rsid w:val="00554921"/>
    <w:rsid w:val="005E6A9C"/>
    <w:rsid w:val="005F2D35"/>
    <w:rsid w:val="00671D19"/>
    <w:rsid w:val="007376A5"/>
    <w:rsid w:val="007668B3"/>
    <w:rsid w:val="00902846"/>
    <w:rsid w:val="00A03852"/>
    <w:rsid w:val="00AC6D9A"/>
    <w:rsid w:val="00B05F4D"/>
    <w:rsid w:val="00BC0303"/>
    <w:rsid w:val="00C41BF6"/>
    <w:rsid w:val="00C91096"/>
    <w:rsid w:val="00CB36FC"/>
    <w:rsid w:val="00CD572A"/>
    <w:rsid w:val="00D018EB"/>
    <w:rsid w:val="00DE2432"/>
    <w:rsid w:val="00DF53BF"/>
    <w:rsid w:val="00E234AB"/>
    <w:rsid w:val="00EA182E"/>
    <w:rsid w:val="00EF5272"/>
    <w:rsid w:val="00F45C94"/>
    <w:rsid w:val="00FB68AD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DAE5"/>
  <w15:chartTrackingRefBased/>
  <w15:docId w15:val="{07835110-5599-4624-9131-C087BF0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DE2432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43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DE243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66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8B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8B3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8B3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71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lab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tgroup.c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Kamila Čadková</cp:lastModifiedBy>
  <cp:revision>10</cp:revision>
  <cp:lastPrinted>2019-01-15T08:03:00Z</cp:lastPrinted>
  <dcterms:created xsi:type="dcterms:W3CDTF">2019-01-14T14:21:00Z</dcterms:created>
  <dcterms:modified xsi:type="dcterms:W3CDTF">2019-01-16T09:08:00Z</dcterms:modified>
</cp:coreProperties>
</file>